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723" w:rsidRDefault="00036723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Esquema de Contraloría Social</w:t>
      </w:r>
    </w:p>
    <w:p w:rsidR="00036723" w:rsidRDefault="00036723" w:rsidP="00A009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036723" w:rsidRDefault="00036723" w:rsidP="00A009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1. Difusión</w:t>
      </w:r>
    </w:p>
    <w:p w:rsidR="00036723" w:rsidRDefault="00036723" w:rsidP="00A009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FOMES promoverá a través de su página de Internet (http//:pifi.sep.gob.mx) que las Instituciones de Educación Superior (IES) Públicas realicen la promoción de la operación del Programa, las actividades de contraloría social y pongan a disposición de los beneficiarios la cédula de vigilancia, con el propósito de que</w:t>
      </w:r>
      <w:r w:rsidR="00A009D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éstos conozcan la operación del Programa y con ello se garantice que el tipo de apoyo, montos, periodicidad,</w:t>
      </w:r>
      <w:r w:rsidR="00A009D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forma de entrega y obligaciones del beneficiario sean de su conocimiento.</w:t>
      </w:r>
    </w:p>
    <w:p w:rsidR="00A009D1" w:rsidRDefault="00A009D1" w:rsidP="00A009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036723" w:rsidRDefault="00036723" w:rsidP="00A009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2. Capacitación y Asesoría</w:t>
      </w:r>
    </w:p>
    <w:p w:rsidR="00036723" w:rsidRDefault="00036723" w:rsidP="00A009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Debido a que las IES cuentan con formas de organización tales como Consejos Universitarios, Academias,</w:t>
      </w:r>
      <w:r w:rsidR="00A009D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Sindicatos, Cuerpos Colegiados, entre otros, instancias conformadas de manera autónoma que se rigen por</w:t>
      </w:r>
      <w:r w:rsidR="00A009D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sus Leyes Orgánicas y/o Decreto de Creación, resulta complejo propiciar nuevas formas de organización que</w:t>
      </w:r>
      <w:r w:rsidR="00A009D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dificultarían su funcionamiento y administración como sería el caso de los Comités de Contraloría Social.</w:t>
      </w:r>
      <w:r w:rsidR="00A009D1">
        <w:rPr>
          <w:rFonts w:ascii="Arial" w:hAnsi="Arial" w:cs="Arial"/>
          <w:sz w:val="18"/>
          <w:szCs w:val="18"/>
        </w:rPr>
        <w:t xml:space="preserve"> </w:t>
      </w:r>
    </w:p>
    <w:p w:rsidR="00A009D1" w:rsidRDefault="00A009D1" w:rsidP="00A009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036723" w:rsidRDefault="00036723" w:rsidP="00A009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Sin embargo, se propiciará que las IES, mediante sus páginas de Internet, inviten a los beneficiarios para</w:t>
      </w:r>
      <w:r w:rsidR="00A009D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que, de manera abierta, tengan acceso a la cédula de vigilancia para supervisar la debida aplicación de los</w:t>
      </w:r>
      <w:r w:rsidR="00A009D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recursos del Programa, quienes serán los responsables de capturar la información de la cédula y remitirla a</w:t>
      </w:r>
      <w:r w:rsidR="00A009D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los responsables de Planeación de cada IES para que las concentren, revisen que su llenado y</w:t>
      </w:r>
      <w:r w:rsidR="00A009D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documentación soporte esté completo y posteriormente sean canalizadas a la Dirección de Fortalecimiento</w:t>
      </w:r>
      <w:r w:rsidR="00A009D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Institucional de la Dirección General de Educación Superior Universitaria de la SEP con copia a la Dirección</w:t>
      </w:r>
      <w:r w:rsidR="00A009D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General Adjunta de Participación Social de la Secretaría de la Función Pública (SFP).</w:t>
      </w:r>
    </w:p>
    <w:p w:rsidR="00A009D1" w:rsidRDefault="00A009D1" w:rsidP="00A009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036723" w:rsidRDefault="00036723" w:rsidP="00A009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3. Seguimiento</w:t>
      </w:r>
    </w:p>
    <w:p w:rsidR="00036723" w:rsidRDefault="00036723" w:rsidP="00A009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FOMES se encargará de supervisar que la promoción de la contraloría social al interior de cada IES se</w:t>
      </w:r>
      <w:r w:rsidR="00A009D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establezca de manera oportuna, mediante el envío de oficios, a través de los cuales se invite a las IES para</w:t>
      </w:r>
      <w:r w:rsidR="00A009D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que los beneficiarios se organicen y participen en las actividades de contraloría social, asimismo dará</w:t>
      </w:r>
      <w:r w:rsidR="00A009D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seguimiento a los resultados de estas actividades a través de las cédulas de vigilancia.</w:t>
      </w:r>
      <w:r w:rsidR="00A009D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Los resultados que se obtengan de las acciones de contraloría social, se registrarán en el sistema</w:t>
      </w:r>
      <w:r w:rsidR="00A009D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informático de la SFP para que se vinculen con el sistema de atención ciudadana.</w:t>
      </w:r>
    </w:p>
    <w:p w:rsidR="00A009D1" w:rsidRDefault="00A009D1" w:rsidP="00A009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036723" w:rsidRDefault="00036723" w:rsidP="00A009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4. Actividades de Coordinación</w:t>
      </w:r>
    </w:p>
    <w:p w:rsidR="0055500E" w:rsidRDefault="00036723" w:rsidP="00A009D1">
      <w:pPr>
        <w:autoSpaceDE w:val="0"/>
        <w:autoSpaceDN w:val="0"/>
        <w:adjustRightInd w:val="0"/>
        <w:spacing w:after="0" w:line="360" w:lineRule="auto"/>
        <w:jc w:val="both"/>
      </w:pPr>
      <w:r>
        <w:rPr>
          <w:rFonts w:ascii="Arial" w:hAnsi="Arial" w:cs="Arial"/>
          <w:sz w:val="18"/>
          <w:szCs w:val="18"/>
        </w:rPr>
        <w:t>El Programa en coordinación con cada IES establecerá en el Convenio de Colaboración y Apoyo o</w:t>
      </w:r>
      <w:r w:rsidR="00A009D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Lineamientos Internos de Coordinación, el compromiso de que cada Institución sea responsable de promover,</w:t>
      </w:r>
      <w:r w:rsidR="00A009D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 través de su página de Internet, las acciones de contraloría social poniendo a disposición de los</w:t>
      </w:r>
      <w:r w:rsidR="00A009D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beneficiarios la cédula de vigilancia y brindándoles asesoría y capacitación para el control y vigilancia de los</w:t>
      </w:r>
      <w:r w:rsidR="00A009D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recursos que otorga el Programa.</w:t>
      </w:r>
      <w:r w:rsidR="00A009D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Asimismo, se acordará que las IES deberán proporcionar la información relacionada con la operación del</w:t>
      </w:r>
      <w:r w:rsidR="00A009D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Programa y sus actividades de contraloría social a la SEP y reportarlas en el sistema informático que para tal</w:t>
      </w:r>
      <w:r w:rsidR="00A009D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fin diseñe la SFP.</w:t>
      </w:r>
    </w:p>
    <w:sectPr w:rsidR="0055500E" w:rsidSect="00D10AC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FF2" w:rsidRDefault="00AC3FF2" w:rsidP="00A009D1">
      <w:pPr>
        <w:spacing w:after="0" w:line="240" w:lineRule="auto"/>
      </w:pPr>
      <w:r>
        <w:separator/>
      </w:r>
    </w:p>
  </w:endnote>
  <w:endnote w:type="continuationSeparator" w:id="1">
    <w:p w:rsidR="00AC3FF2" w:rsidRDefault="00AC3FF2" w:rsidP="00A0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FF2" w:rsidRDefault="00AC3FF2" w:rsidP="00A009D1">
      <w:pPr>
        <w:spacing w:after="0" w:line="240" w:lineRule="auto"/>
      </w:pPr>
      <w:r>
        <w:separator/>
      </w:r>
    </w:p>
  </w:footnote>
  <w:footnote w:type="continuationSeparator" w:id="1">
    <w:p w:rsidR="00AC3FF2" w:rsidRDefault="00AC3FF2" w:rsidP="00A0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9D1" w:rsidRDefault="00A009D1" w:rsidP="00A009D1">
    <w:pPr>
      <w:rPr>
        <w:rFonts w:ascii="Arial" w:hAnsi="Arial" w:cs="Arial"/>
        <w:b/>
        <w:sz w:val="20"/>
      </w:rPr>
    </w:pPr>
    <w:r w:rsidRPr="00FD6ABD">
      <w:rPr>
        <w:rFonts w:ascii="Arial" w:hAnsi="Arial" w:cs="Arial"/>
        <w:b/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13.5pt;margin-top:-17.85pt;width:100.45pt;height:65pt;z-index:251661312;mso-wrap-style:none;mso-width-percent:400;mso-height-percent:200;mso-width-percent:400;mso-height-percent:200;mso-width-relative:margin;mso-height-relative:margin" strokecolor="white">
          <v:textbox style="mso-next-textbox:#_x0000_s2050;mso-fit-shape-to-text:t">
            <w:txbxContent>
              <w:p w:rsidR="00A009D1" w:rsidRDefault="00A009D1" w:rsidP="00A009D1">
                <w:r>
                  <w:rPr>
                    <w:rFonts w:ascii="Arial" w:hAnsi="Arial" w:cs="Arial"/>
                    <w:b/>
                    <w:noProof/>
                    <w:sz w:val="20"/>
                    <w:lang w:eastAsia="es-ES"/>
                  </w:rPr>
                  <w:drawing>
                    <wp:inline distT="0" distB="0" distL="0" distR="0">
                      <wp:extent cx="1082675" cy="723900"/>
                      <wp:effectExtent l="19050" t="0" r="3175" b="0"/>
                      <wp:docPr id="1" name="Imagen 1" descr="logo_web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logo_web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2675" cy="723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FD6ABD">
      <w:rPr>
        <w:rFonts w:ascii="Arial" w:hAnsi="Arial" w:cs="Arial"/>
        <w:b/>
        <w:noProof/>
        <w:sz w:val="20"/>
      </w:rPr>
      <w:pict>
        <v:shape id="_x0000_s2051" type="#_x0000_t202" style="position:absolute;margin-left:337pt;margin-top:-17pt;width:100.75pt;height:65pt;z-index:251662336;mso-wrap-style:none;mso-width-percent:400;mso-height-percent:200;mso-width-percent:400;mso-height-percent:200;mso-width-relative:margin;mso-height-relative:margin" strokecolor="white">
          <v:textbox style="mso-next-textbox:#_x0000_s2051;mso-fit-shape-to-text:t">
            <w:txbxContent>
              <w:p w:rsidR="00A009D1" w:rsidRDefault="00A009D1" w:rsidP="00A009D1">
                <w:r>
                  <w:rPr>
                    <w:rFonts w:ascii="Arial" w:hAnsi="Arial" w:cs="Arial"/>
                    <w:b/>
                    <w:noProof/>
                    <w:lang w:eastAsia="es-ES"/>
                  </w:rPr>
                  <w:drawing>
                    <wp:inline distT="0" distB="0" distL="0" distR="0">
                      <wp:extent cx="1089660" cy="723900"/>
                      <wp:effectExtent l="19050" t="0" r="0" b="0"/>
                      <wp:docPr id="2" name="Imagen 1" descr="logo_sf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1" descr="logo_sfp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9660" cy="723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Arial" w:hAnsi="Arial" w:cs="Arial"/>
        <w:b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73.65pt;margin-top:-10.75pt;width:81.35pt;height:57.95pt;z-index:251660288" fillcolor="#bbe0e3">
          <v:imagedata r:id="rId3" o:title=""/>
        </v:shape>
        <o:OLEObject Type="Embed" ProgID="PBrush" ShapeID="_x0000_s2049" DrawAspect="Content" ObjectID="_1297610147" r:id="rId4"/>
      </w:pict>
    </w:r>
  </w:p>
  <w:p w:rsidR="00A009D1" w:rsidRDefault="00A009D1" w:rsidP="00A009D1">
    <w:pPr>
      <w:pBdr>
        <w:bottom w:val="single" w:sz="12" w:space="1" w:color="auto"/>
      </w:pBdr>
      <w:jc w:val="center"/>
      <w:rPr>
        <w:rFonts w:ascii="Arial" w:hAnsi="Arial" w:cs="Arial"/>
        <w:b/>
        <w:sz w:val="20"/>
      </w:rPr>
    </w:pPr>
  </w:p>
  <w:p w:rsidR="00A009D1" w:rsidRDefault="00A009D1" w:rsidP="00A009D1">
    <w:pPr>
      <w:pBdr>
        <w:bottom w:val="single" w:sz="12" w:space="1" w:color="auto"/>
      </w:pBdr>
      <w:jc w:val="center"/>
      <w:rPr>
        <w:rFonts w:ascii="Arial" w:hAnsi="Arial" w:cs="Arial"/>
        <w:b/>
        <w:sz w:val="18"/>
      </w:rPr>
    </w:pPr>
  </w:p>
  <w:p w:rsidR="00A009D1" w:rsidRPr="00CC041B" w:rsidRDefault="00A009D1" w:rsidP="00A009D1">
    <w:pPr>
      <w:pBdr>
        <w:bottom w:val="single" w:sz="12" w:space="1" w:color="auto"/>
      </w:pBdr>
      <w:jc w:val="center"/>
      <w:rPr>
        <w:rFonts w:ascii="Arial" w:hAnsi="Arial" w:cs="Arial"/>
        <w:b/>
        <w:smallCaps/>
        <w:sz w:val="18"/>
      </w:rPr>
    </w:pPr>
    <w:r w:rsidRPr="00CC041B">
      <w:rPr>
        <w:rFonts w:ascii="Arial" w:hAnsi="Arial" w:cs="Arial"/>
        <w:b/>
        <w:smallCaps/>
        <w:sz w:val="18"/>
      </w:rPr>
      <w:t>Programa Fondo de Modernización para la Educación Superior (FOMES) y Programa Fondo de Inversión de Universidades Públicas Estatales con Evaluación de la ANUIES (FIUPEA)</w:t>
    </w:r>
  </w:p>
  <w:p w:rsidR="00A009D1" w:rsidRDefault="00A009D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36723"/>
    <w:rsid w:val="00036723"/>
    <w:rsid w:val="001A1629"/>
    <w:rsid w:val="00377EC8"/>
    <w:rsid w:val="003D7AE8"/>
    <w:rsid w:val="00510ADE"/>
    <w:rsid w:val="00513205"/>
    <w:rsid w:val="005B2C92"/>
    <w:rsid w:val="00783D1E"/>
    <w:rsid w:val="007E3EA7"/>
    <w:rsid w:val="00A009D1"/>
    <w:rsid w:val="00AC3FF2"/>
    <w:rsid w:val="00AE4DE6"/>
    <w:rsid w:val="00C37952"/>
    <w:rsid w:val="00D10AC8"/>
    <w:rsid w:val="00D91FFA"/>
    <w:rsid w:val="00D9405E"/>
    <w:rsid w:val="00DA6208"/>
    <w:rsid w:val="00FC3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A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009D1"/>
  </w:style>
  <w:style w:type="paragraph" w:styleId="Piedepgina">
    <w:name w:val="footer"/>
    <w:basedOn w:val="Normal"/>
    <w:link w:val="PiedepginaCar"/>
    <w:uiPriority w:val="99"/>
    <w:semiHidden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009D1"/>
  </w:style>
  <w:style w:type="paragraph" w:styleId="Textodeglobo">
    <w:name w:val="Balloon Text"/>
    <w:basedOn w:val="Normal"/>
    <w:link w:val="TextodegloboCar"/>
    <w:uiPriority w:val="99"/>
    <w:semiHidden/>
    <w:unhideWhenUsed/>
    <w:rsid w:val="00A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9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C8F5865DCEA243B6E54F260B03729A" ma:contentTypeVersion="1" ma:contentTypeDescription="Crear nuevo documento." ma:contentTypeScope="" ma:versionID="ca8c0b0fe122ac6d3c444a1abc3a7e8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B97A8F0-C740-4035-B5EF-FC016C87DA1A}"/>
</file>

<file path=customXml/itemProps2.xml><?xml version="1.0" encoding="utf-8"?>
<ds:datastoreItem xmlns:ds="http://schemas.openxmlformats.org/officeDocument/2006/customXml" ds:itemID="{F31E2BFB-6D74-4791-8DAF-D96A0285AB36}"/>
</file>

<file path=customXml/itemProps3.xml><?xml version="1.0" encoding="utf-8"?>
<ds:datastoreItem xmlns:ds="http://schemas.openxmlformats.org/officeDocument/2006/customXml" ds:itemID="{5202D4E5-1528-408A-BF49-DDAD0EAEBD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465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Lira</dc:creator>
  <cp:lastModifiedBy>Humberto Lira</cp:lastModifiedBy>
  <cp:revision>2</cp:revision>
  <dcterms:created xsi:type="dcterms:W3CDTF">2009-03-04T00:26:00Z</dcterms:created>
  <dcterms:modified xsi:type="dcterms:W3CDTF">2009-03-04T00:29:00Z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0x01010041C8F5865DCEA243B6E54F260B03729A</vt:lpwstr>
  </property>
</Properties>
</file>